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AA" w:rsidRPr="00F330AA" w:rsidRDefault="007B6E3D" w:rsidP="00F330AA">
      <w:pPr>
        <w:bidi w:val="0"/>
        <w:jc w:val="center"/>
        <w:rPr>
          <w:rStyle w:val="SubtleEmphasis"/>
          <w:rFonts w:ascii="Times New Roman" w:hAnsiTheme="majorBidi" w:cstheme="majorBidi"/>
          <w:b/>
          <w:bCs/>
          <w:i w:val="0"/>
          <w:iCs w:val="0"/>
          <w:sz w:val="32"/>
          <w:szCs w:val="32"/>
        </w:rPr>
      </w:pPr>
      <w:r>
        <w:rPr>
          <w:rStyle w:val="SubtleEmphasis"/>
          <w:rFonts w:asciiTheme="majorBidi" w:hAnsiTheme="majorBidi" w:cstheme="majorBidi"/>
          <w:b/>
          <w:bCs/>
          <w:i w:val="0"/>
          <w:iCs w:val="0"/>
          <w:sz w:val="32"/>
          <w:szCs w:val="32"/>
        </w:rPr>
        <w:t>Introduction</w:t>
      </w:r>
    </w:p>
    <w:p w:rsidR="00F330AA" w:rsidRPr="00FD1006" w:rsidRDefault="00F330AA" w:rsidP="00FD1006">
      <w:pPr>
        <w:bidi w:val="0"/>
        <w:jc w:val="both"/>
        <w:rPr>
          <w:rStyle w:val="SubtleEmphasis"/>
          <w:rFonts w:asciiTheme="majorBidi" w:hAnsiTheme="majorBidi" w:cstheme="majorBidi"/>
          <w:b/>
          <w:bCs/>
          <w:i w:val="0"/>
          <w:iCs w:val="0"/>
          <w:sz w:val="28"/>
          <w:szCs w:val="28"/>
          <w:rtl/>
        </w:rPr>
      </w:pPr>
      <w:r w:rsidRPr="00F330AA">
        <w:rPr>
          <w:rStyle w:val="SubtleEmphasis"/>
          <w:rFonts w:asciiTheme="majorBidi" w:hAnsiTheme="majorBidi" w:cstheme="majorBidi"/>
          <w:i w:val="0"/>
          <w:iCs w:val="0"/>
          <w:sz w:val="28"/>
          <w:szCs w:val="28"/>
        </w:rPr>
        <w:t>The liver is the most frequently injured solid intra-abdominal organ. Incidence of liver trauma associated with other solid organs bowel mesenteric &amp; diaphragmatic injury has been reported to be 15-20 %.</w:t>
      </w:r>
      <w:r w:rsidR="00FD1006">
        <w:rPr>
          <w:rStyle w:val="SubtleEmphasis"/>
          <w:rFonts w:asciiTheme="majorBidi" w:hAnsiTheme="majorBidi" w:cstheme="majorBidi"/>
          <w:b/>
          <w:bCs/>
          <w:i w:val="0"/>
          <w:iCs w:val="0"/>
          <w:sz w:val="28"/>
          <w:szCs w:val="28"/>
        </w:rPr>
        <w:t xml:space="preserve">         </w:t>
      </w:r>
      <w:r w:rsidR="00FD1006" w:rsidRPr="00F330AA">
        <w:rPr>
          <w:rStyle w:val="SubtleEmphasis"/>
          <w:rFonts w:asciiTheme="majorBidi" w:hAnsiTheme="majorBidi" w:cstheme="majorBidi"/>
          <w:b/>
          <w:bCs/>
          <w:i w:val="0"/>
          <w:iCs w:val="0"/>
          <w:sz w:val="28"/>
          <w:szCs w:val="28"/>
        </w:rPr>
        <w:t>( igrec</w:t>
      </w:r>
      <w:r w:rsidRPr="00F330AA">
        <w:rPr>
          <w:rStyle w:val="SubtleEmphasis"/>
          <w:rFonts w:asciiTheme="majorBidi" w:hAnsiTheme="majorBidi" w:cstheme="majorBidi"/>
          <w:b/>
          <w:bCs/>
          <w:i w:val="0"/>
          <w:iCs w:val="0"/>
          <w:sz w:val="28"/>
          <w:szCs w:val="28"/>
        </w:rPr>
        <w:t xml:space="preserve"> et al.,</w:t>
      </w:r>
      <w:r w:rsidR="00FD1006">
        <w:rPr>
          <w:rStyle w:val="SubtleEmphasis"/>
          <w:rFonts w:asciiTheme="majorBidi" w:hAnsiTheme="majorBidi" w:cstheme="majorBidi"/>
          <w:b/>
          <w:bCs/>
          <w:i w:val="0"/>
          <w:iCs w:val="0"/>
          <w:sz w:val="28"/>
          <w:szCs w:val="28"/>
        </w:rPr>
        <w:t xml:space="preserve"> </w:t>
      </w:r>
      <w:r w:rsidRPr="00F330AA">
        <w:rPr>
          <w:rStyle w:val="SubtleEmphasis"/>
          <w:rFonts w:asciiTheme="majorBidi" w:hAnsiTheme="majorBidi" w:cstheme="majorBidi"/>
          <w:b/>
          <w:bCs/>
          <w:i w:val="0"/>
          <w:iCs w:val="0"/>
          <w:sz w:val="28"/>
          <w:szCs w:val="28"/>
        </w:rPr>
        <w:t xml:space="preserve">2010) </w:t>
      </w:r>
    </w:p>
    <w:p w:rsidR="00F330AA" w:rsidRPr="00F330AA" w:rsidRDefault="00F330AA" w:rsidP="00F330AA">
      <w:pPr>
        <w:bidi w:val="0"/>
        <w:spacing w:line="360" w:lineRule="auto"/>
        <w:jc w:val="both"/>
        <w:rPr>
          <w:rStyle w:val="SubtleEmphasis"/>
          <w:rFonts w:asciiTheme="majorBidi" w:hAnsiTheme="majorBidi" w:cstheme="majorBidi"/>
          <w:i w:val="0"/>
          <w:iCs w:val="0"/>
          <w:sz w:val="28"/>
          <w:szCs w:val="28"/>
        </w:rPr>
      </w:pPr>
      <w:r w:rsidRPr="00F330AA">
        <w:rPr>
          <w:rStyle w:val="SubtleEmphasis"/>
          <w:rFonts w:asciiTheme="majorBidi" w:hAnsiTheme="majorBidi" w:cstheme="majorBidi"/>
          <w:i w:val="0"/>
          <w:iCs w:val="0"/>
          <w:sz w:val="28"/>
          <w:szCs w:val="28"/>
        </w:rPr>
        <w:t xml:space="preserve"> Associated injuries to other organs and uncontrolled bleeding from the liver contribute to high morbidity and mortality rates. Mortality rates have fallen from 66% during the </w:t>
      </w:r>
      <w:r w:rsidR="00FD1006" w:rsidRPr="00F330AA">
        <w:rPr>
          <w:rStyle w:val="SubtleEmphasis"/>
          <w:rFonts w:asciiTheme="majorBidi" w:hAnsiTheme="majorBidi" w:cstheme="majorBidi"/>
          <w:i w:val="0"/>
          <w:iCs w:val="0"/>
          <w:sz w:val="28"/>
          <w:szCs w:val="28"/>
        </w:rPr>
        <w:t>Second World War</w:t>
      </w:r>
      <w:r w:rsidRPr="00F330AA">
        <w:rPr>
          <w:rStyle w:val="SubtleEmphasis"/>
          <w:rFonts w:asciiTheme="majorBidi" w:hAnsiTheme="majorBidi" w:cstheme="majorBidi"/>
          <w:i w:val="0"/>
          <w:iCs w:val="0"/>
          <w:sz w:val="28"/>
          <w:szCs w:val="28"/>
        </w:rPr>
        <w:t xml:space="preserve"> to current level </w:t>
      </w:r>
      <w:r w:rsidR="00FD1006" w:rsidRPr="00F330AA">
        <w:rPr>
          <w:rStyle w:val="SubtleEmphasis"/>
          <w:rFonts w:asciiTheme="majorBidi" w:hAnsiTheme="majorBidi" w:cstheme="majorBidi"/>
          <w:i w:val="0"/>
          <w:iCs w:val="0"/>
          <w:sz w:val="28"/>
          <w:szCs w:val="28"/>
        </w:rPr>
        <w:t xml:space="preserve">of </w:t>
      </w:r>
      <w:r w:rsidR="00FD1006">
        <w:rPr>
          <w:rStyle w:val="SubtleEmphasis"/>
          <w:rFonts w:asciiTheme="majorBidi" w:hAnsiTheme="majorBidi" w:cstheme="majorBidi"/>
          <w:i w:val="0"/>
          <w:iCs w:val="0"/>
          <w:sz w:val="28"/>
          <w:szCs w:val="28"/>
        </w:rPr>
        <w:t>28</w:t>
      </w:r>
      <w:r w:rsidRPr="00F330AA">
        <w:rPr>
          <w:rStyle w:val="SubtleEmphasis"/>
          <w:rFonts w:asciiTheme="majorBidi" w:hAnsiTheme="majorBidi" w:cstheme="majorBidi"/>
          <w:i w:val="0"/>
          <w:iCs w:val="0"/>
          <w:sz w:val="28"/>
          <w:szCs w:val="28"/>
        </w:rPr>
        <w:t xml:space="preserve"> %.</w:t>
      </w:r>
      <w:r w:rsidR="00FD1006" w:rsidRPr="00F330AA">
        <w:rPr>
          <w:rStyle w:val="SubtleEmphasis"/>
          <w:rFonts w:asciiTheme="majorBidi" w:hAnsiTheme="majorBidi" w:cstheme="majorBidi"/>
          <w:b/>
          <w:bCs/>
          <w:i w:val="0"/>
          <w:iCs w:val="0"/>
          <w:sz w:val="28"/>
          <w:szCs w:val="28"/>
        </w:rPr>
        <w:t>( Sikhondze</w:t>
      </w:r>
      <w:r w:rsidRPr="00F330AA">
        <w:rPr>
          <w:rStyle w:val="SubtleEmphasis"/>
          <w:rFonts w:asciiTheme="majorBidi" w:hAnsiTheme="majorBidi" w:cstheme="majorBidi"/>
          <w:b/>
          <w:bCs/>
          <w:i w:val="0"/>
          <w:iCs w:val="0"/>
          <w:sz w:val="28"/>
          <w:szCs w:val="28"/>
        </w:rPr>
        <w:t xml:space="preserve"> et al., 2007)</w:t>
      </w:r>
    </w:p>
    <w:p w:rsidR="00F330AA" w:rsidRPr="00F330AA" w:rsidRDefault="00F330AA" w:rsidP="00F330AA">
      <w:pPr>
        <w:bidi w:val="0"/>
        <w:spacing w:line="360" w:lineRule="auto"/>
        <w:jc w:val="both"/>
        <w:rPr>
          <w:rStyle w:val="SubtleEmphasis"/>
          <w:rFonts w:ascii="Times New Roman" w:hAnsiTheme="majorBidi" w:cstheme="majorBidi"/>
          <w:i w:val="0"/>
          <w:iCs w:val="0"/>
          <w:sz w:val="28"/>
          <w:szCs w:val="28"/>
          <w:rtl/>
        </w:rPr>
      </w:pPr>
      <w:r w:rsidRPr="00F330AA">
        <w:rPr>
          <w:rStyle w:val="SubtleEmphasis"/>
          <w:rFonts w:asciiTheme="majorBidi" w:hAnsiTheme="majorBidi" w:cstheme="majorBidi"/>
          <w:i w:val="0"/>
          <w:iCs w:val="0"/>
          <w:sz w:val="28"/>
          <w:szCs w:val="28"/>
        </w:rPr>
        <w:t>Management of blunt liver trauma has progressed over the last 20 years with the adoption of conservative non-operative management as gold standard in 80-90% of patients.</w:t>
      </w:r>
      <w:r w:rsidRPr="00F330AA">
        <w:rPr>
          <w:rStyle w:val="SubtleEmphasis"/>
          <w:rFonts w:asciiTheme="majorBidi" w:hAnsiTheme="majorBidi" w:cstheme="majorBidi"/>
          <w:b/>
          <w:bCs/>
          <w:i w:val="0"/>
          <w:iCs w:val="0"/>
          <w:sz w:val="28"/>
          <w:szCs w:val="28"/>
        </w:rPr>
        <w:t>(Bouras et al .,2010)</w:t>
      </w:r>
    </w:p>
    <w:p w:rsidR="00F330AA" w:rsidRPr="00F330AA" w:rsidRDefault="00F330AA" w:rsidP="00F330AA">
      <w:pPr>
        <w:bidi w:val="0"/>
        <w:spacing w:line="360" w:lineRule="auto"/>
        <w:jc w:val="both"/>
        <w:rPr>
          <w:rStyle w:val="SubtleEmphasis"/>
          <w:rFonts w:ascii="Times New Roman" w:hAnsiTheme="majorBidi" w:cstheme="majorBidi"/>
          <w:i w:val="0"/>
          <w:iCs w:val="0"/>
          <w:sz w:val="28"/>
          <w:szCs w:val="28"/>
        </w:rPr>
      </w:pPr>
      <w:r w:rsidRPr="00F330AA">
        <w:rPr>
          <w:rStyle w:val="SubtleEmphasis"/>
          <w:rFonts w:asciiTheme="majorBidi" w:hAnsiTheme="majorBidi" w:cstheme="majorBidi"/>
          <w:i w:val="0"/>
          <w:iCs w:val="0"/>
          <w:sz w:val="28"/>
          <w:szCs w:val="28"/>
        </w:rPr>
        <w:t>The main indication the operative approach to the blunt liver injures is hemodynamic instability not the grading of the injury. Although a higher grade injury has a higher potential for failure of non operative management, hemodynamic instability remains the most important branch of the decision tree indicating operative intervention.</w:t>
      </w:r>
      <w:r w:rsidRPr="00F330AA">
        <w:rPr>
          <w:rStyle w:val="SubtleEmphasis"/>
          <w:rFonts w:asciiTheme="majorBidi" w:hAnsiTheme="majorBidi" w:cstheme="majorBidi"/>
          <w:b/>
          <w:bCs/>
          <w:i w:val="0"/>
          <w:iCs w:val="0"/>
          <w:sz w:val="28"/>
          <w:szCs w:val="28"/>
        </w:rPr>
        <w:t xml:space="preserve"> (Velmahos, et </w:t>
      </w:r>
      <w:r w:rsidR="00184FF2" w:rsidRPr="00F330AA">
        <w:rPr>
          <w:rStyle w:val="SubtleEmphasis"/>
          <w:rFonts w:asciiTheme="majorBidi" w:hAnsiTheme="majorBidi" w:cstheme="majorBidi"/>
          <w:b/>
          <w:bCs/>
          <w:i w:val="0"/>
          <w:iCs w:val="0"/>
          <w:sz w:val="28"/>
          <w:szCs w:val="28"/>
        </w:rPr>
        <w:t>al.</w:t>
      </w:r>
      <w:r w:rsidRPr="00F330AA">
        <w:rPr>
          <w:rStyle w:val="SubtleEmphasis"/>
          <w:rFonts w:asciiTheme="majorBidi" w:hAnsiTheme="majorBidi" w:cstheme="majorBidi"/>
          <w:b/>
          <w:bCs/>
          <w:i w:val="0"/>
          <w:iCs w:val="0"/>
          <w:sz w:val="28"/>
          <w:szCs w:val="28"/>
        </w:rPr>
        <w:t>,</w:t>
      </w:r>
      <w:r w:rsidR="00184FF2">
        <w:rPr>
          <w:rStyle w:val="SubtleEmphasis"/>
          <w:rFonts w:asciiTheme="majorBidi" w:hAnsiTheme="majorBidi" w:cstheme="majorBidi"/>
          <w:b/>
          <w:bCs/>
          <w:i w:val="0"/>
          <w:iCs w:val="0"/>
          <w:sz w:val="28"/>
          <w:szCs w:val="28"/>
        </w:rPr>
        <w:t xml:space="preserve"> </w:t>
      </w:r>
      <w:r w:rsidRPr="00F330AA">
        <w:rPr>
          <w:rStyle w:val="SubtleEmphasis"/>
          <w:rFonts w:asciiTheme="majorBidi" w:hAnsiTheme="majorBidi" w:cstheme="majorBidi"/>
          <w:b/>
          <w:bCs/>
          <w:i w:val="0"/>
          <w:iCs w:val="0"/>
          <w:sz w:val="28"/>
          <w:szCs w:val="28"/>
        </w:rPr>
        <w:t>2010)</w:t>
      </w:r>
    </w:p>
    <w:p w:rsidR="00F330AA" w:rsidRPr="00F330AA" w:rsidRDefault="00F330AA" w:rsidP="00F330AA">
      <w:pPr>
        <w:bidi w:val="0"/>
        <w:spacing w:line="360" w:lineRule="auto"/>
        <w:jc w:val="both"/>
        <w:rPr>
          <w:rStyle w:val="SubtleEmphasis"/>
          <w:rFonts w:ascii="Times New Roman" w:hAnsiTheme="majorBidi" w:cstheme="majorBidi"/>
          <w:i w:val="0"/>
          <w:iCs w:val="0"/>
          <w:sz w:val="28"/>
          <w:szCs w:val="28"/>
        </w:rPr>
      </w:pPr>
      <w:r w:rsidRPr="00F330AA">
        <w:rPr>
          <w:rStyle w:val="SubtleEmphasis"/>
          <w:rFonts w:asciiTheme="majorBidi" w:hAnsiTheme="majorBidi" w:cstheme="majorBidi"/>
          <w:i w:val="0"/>
          <w:iCs w:val="0"/>
          <w:sz w:val="28"/>
          <w:szCs w:val="28"/>
          <w:lang w:bidi="ar-EG"/>
        </w:rPr>
        <w:t>Reducing the morbidity and mortality from hemorrhagic shock and subsequent sepsis remain the main obstacles in the management of liver trauma. Many approaches for operative management of complex liver injuries are used, including packing techniques, resectional debridement, and hepatotomy with vascular ligation</w:t>
      </w:r>
      <w:r w:rsidR="00184FF2" w:rsidRPr="00F330AA">
        <w:rPr>
          <w:rStyle w:val="SubtleEmphasis"/>
          <w:rFonts w:asciiTheme="majorBidi" w:hAnsiTheme="majorBidi" w:cstheme="majorBidi"/>
          <w:b/>
          <w:bCs/>
          <w:i w:val="0"/>
          <w:iCs w:val="0"/>
          <w:sz w:val="28"/>
          <w:szCs w:val="28"/>
          <w:lang w:bidi="ar-EG"/>
        </w:rPr>
        <w:t>. (</w:t>
      </w:r>
      <w:r w:rsidRPr="00F330AA">
        <w:rPr>
          <w:rStyle w:val="SubtleEmphasis"/>
          <w:rFonts w:asciiTheme="majorBidi" w:hAnsiTheme="majorBidi" w:cstheme="majorBidi"/>
          <w:b/>
          <w:bCs/>
          <w:i w:val="0"/>
          <w:iCs w:val="0"/>
          <w:sz w:val="28"/>
          <w:szCs w:val="28"/>
          <w:lang w:bidi="ar-EG"/>
        </w:rPr>
        <w:t>Mullins et al.,</w:t>
      </w:r>
      <w:r w:rsidR="00184FF2">
        <w:rPr>
          <w:rStyle w:val="SubtleEmphasis"/>
          <w:rFonts w:asciiTheme="majorBidi" w:hAnsiTheme="majorBidi" w:cstheme="majorBidi"/>
          <w:b/>
          <w:bCs/>
          <w:i w:val="0"/>
          <w:iCs w:val="0"/>
          <w:sz w:val="28"/>
          <w:szCs w:val="28"/>
          <w:lang w:bidi="ar-EG"/>
        </w:rPr>
        <w:t xml:space="preserve"> </w:t>
      </w:r>
      <w:r w:rsidRPr="00F330AA">
        <w:rPr>
          <w:rStyle w:val="SubtleEmphasis"/>
          <w:rFonts w:asciiTheme="majorBidi" w:hAnsiTheme="majorBidi" w:cstheme="majorBidi"/>
          <w:b/>
          <w:bCs/>
          <w:i w:val="0"/>
          <w:iCs w:val="0"/>
          <w:sz w:val="28"/>
          <w:szCs w:val="28"/>
          <w:lang w:bidi="ar-EG"/>
        </w:rPr>
        <w:t>2010)</w:t>
      </w:r>
    </w:p>
    <w:p w:rsidR="00F330AA" w:rsidRPr="00F330AA" w:rsidRDefault="00F330AA" w:rsidP="00F330AA">
      <w:pPr>
        <w:autoSpaceDE w:val="0"/>
        <w:autoSpaceDN w:val="0"/>
        <w:bidi w:val="0"/>
        <w:adjustRightInd w:val="0"/>
        <w:spacing w:after="0" w:line="360" w:lineRule="auto"/>
        <w:jc w:val="both"/>
        <w:rPr>
          <w:rFonts w:asciiTheme="majorBidi" w:hAnsiTheme="majorBidi" w:cstheme="majorBidi"/>
          <w:color w:val="403152" w:themeColor="accent4" w:themeShade="80"/>
          <w:sz w:val="28"/>
          <w:szCs w:val="28"/>
          <w:lang w:bidi="ar-EG"/>
        </w:rPr>
      </w:pPr>
    </w:p>
    <w:p w:rsidR="00F330AA" w:rsidRPr="00F330AA" w:rsidRDefault="00F330AA" w:rsidP="00F330AA">
      <w:pPr>
        <w:autoSpaceDE w:val="0"/>
        <w:autoSpaceDN w:val="0"/>
        <w:bidi w:val="0"/>
        <w:adjustRightInd w:val="0"/>
        <w:spacing w:after="0" w:line="360" w:lineRule="auto"/>
        <w:jc w:val="both"/>
        <w:rPr>
          <w:rFonts w:asciiTheme="majorBidi" w:hAnsiTheme="majorBidi" w:cstheme="majorBidi"/>
          <w:color w:val="403152" w:themeColor="accent4" w:themeShade="80"/>
          <w:sz w:val="28"/>
          <w:szCs w:val="28"/>
        </w:rPr>
      </w:pPr>
    </w:p>
    <w:p w:rsidR="00F330AA" w:rsidRPr="00F330AA" w:rsidRDefault="00F330AA" w:rsidP="00F330AA">
      <w:pPr>
        <w:autoSpaceDE w:val="0"/>
        <w:autoSpaceDN w:val="0"/>
        <w:bidi w:val="0"/>
        <w:adjustRightInd w:val="0"/>
        <w:spacing w:after="0" w:line="360" w:lineRule="auto"/>
        <w:jc w:val="both"/>
        <w:rPr>
          <w:rFonts w:asciiTheme="majorBidi" w:hAnsiTheme="majorBidi" w:cstheme="majorBidi"/>
          <w:color w:val="403152" w:themeColor="accent4" w:themeShade="80"/>
          <w:sz w:val="28"/>
          <w:szCs w:val="28"/>
        </w:rPr>
      </w:pPr>
    </w:p>
    <w:p w:rsidR="00F330AA" w:rsidRPr="00F330AA" w:rsidRDefault="00F330AA" w:rsidP="00F330AA">
      <w:pPr>
        <w:autoSpaceDE w:val="0"/>
        <w:autoSpaceDN w:val="0"/>
        <w:bidi w:val="0"/>
        <w:adjustRightInd w:val="0"/>
        <w:spacing w:after="0" w:line="360" w:lineRule="auto"/>
        <w:rPr>
          <w:rFonts w:asciiTheme="majorBidi" w:hAnsiTheme="majorBidi" w:cstheme="majorBidi"/>
          <w:color w:val="403152" w:themeColor="accent4" w:themeShade="80"/>
          <w:sz w:val="28"/>
          <w:szCs w:val="28"/>
        </w:rPr>
      </w:pPr>
    </w:p>
    <w:p w:rsidR="00F330AA" w:rsidRPr="007B6E3D" w:rsidRDefault="00F330AA" w:rsidP="007B6E3D">
      <w:pPr>
        <w:bidi w:val="0"/>
        <w:spacing w:line="360" w:lineRule="auto"/>
        <w:jc w:val="center"/>
        <w:rPr>
          <w:rStyle w:val="SubtleEmphasis"/>
          <w:rFonts w:asciiTheme="majorBidi" w:hAnsiTheme="majorBidi" w:cstheme="majorBidi"/>
          <w:b/>
          <w:bCs/>
          <w:i w:val="0"/>
          <w:iCs w:val="0"/>
          <w:color w:val="403152" w:themeColor="accent4" w:themeShade="80"/>
          <w:sz w:val="32"/>
          <w:szCs w:val="32"/>
          <w:lang w:bidi="ar-EG"/>
        </w:rPr>
      </w:pPr>
      <w:r w:rsidRPr="007B6E3D">
        <w:rPr>
          <w:rStyle w:val="SubtleEmphasis"/>
          <w:rFonts w:asciiTheme="majorBidi" w:hAnsiTheme="majorBidi" w:cstheme="majorBidi"/>
          <w:b/>
          <w:bCs/>
          <w:i w:val="0"/>
          <w:iCs w:val="0"/>
          <w:sz w:val="32"/>
          <w:szCs w:val="32"/>
          <w:lang w:bidi="ar-EG"/>
        </w:rPr>
        <w:lastRenderedPageBreak/>
        <w:t>Aim of Work</w:t>
      </w:r>
    </w:p>
    <w:p w:rsidR="00F330AA" w:rsidRPr="00F330AA" w:rsidRDefault="00F330AA" w:rsidP="00F330AA">
      <w:pPr>
        <w:bidi w:val="0"/>
        <w:spacing w:line="360" w:lineRule="auto"/>
        <w:rPr>
          <w:rStyle w:val="SubtleEmphasis"/>
          <w:rFonts w:asciiTheme="majorBidi" w:hAnsiTheme="majorBidi" w:cstheme="majorBidi"/>
          <w:i w:val="0"/>
          <w:iCs w:val="0"/>
          <w:sz w:val="28"/>
          <w:szCs w:val="28"/>
          <w:rtl/>
          <w:lang w:bidi="ar-EG"/>
        </w:rPr>
      </w:pPr>
      <w:r w:rsidRPr="00F330AA">
        <w:rPr>
          <w:rStyle w:val="SubtleEmphasis"/>
          <w:rFonts w:asciiTheme="majorBidi" w:hAnsiTheme="majorBidi" w:cstheme="majorBidi"/>
          <w:i w:val="0"/>
          <w:iCs w:val="0"/>
          <w:sz w:val="28"/>
          <w:szCs w:val="28"/>
          <w:lang w:bidi="ar-EG"/>
        </w:rPr>
        <w:t xml:space="preserve">The aim of this prospective study is to assess management of liver trauma and to analyze factors that influence outcome. </w:t>
      </w:r>
    </w:p>
    <w:p w:rsidR="00F330AA" w:rsidRPr="00F330AA" w:rsidRDefault="00F330AA" w:rsidP="00F330AA">
      <w:pPr>
        <w:autoSpaceDE w:val="0"/>
        <w:autoSpaceDN w:val="0"/>
        <w:bidi w:val="0"/>
        <w:adjustRightInd w:val="0"/>
        <w:spacing w:after="0" w:line="360" w:lineRule="auto"/>
        <w:jc w:val="both"/>
        <w:rPr>
          <w:rStyle w:val="SubtleEmphasis"/>
          <w:rFonts w:asciiTheme="majorBidi" w:hAnsiTheme="majorBidi" w:cstheme="majorBidi"/>
          <w:i w:val="0"/>
          <w:iCs w:val="0"/>
          <w:sz w:val="28"/>
          <w:szCs w:val="28"/>
          <w:lang w:bidi="ar-EG"/>
        </w:rPr>
      </w:pPr>
    </w:p>
    <w:p w:rsidR="00CC1EBF" w:rsidRPr="00F330AA" w:rsidRDefault="00CC1EBF" w:rsidP="00B53E43">
      <w:pPr>
        <w:rPr>
          <w:rFonts w:hint="cs"/>
          <w:lang w:bidi="ar-EG"/>
        </w:rPr>
      </w:pPr>
    </w:p>
    <w:sectPr w:rsidR="00CC1EBF" w:rsidRPr="00F330AA" w:rsidSect="0087293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CE" w:rsidRDefault="003E24CE" w:rsidP="00B53E43">
      <w:pPr>
        <w:spacing w:after="0" w:line="240" w:lineRule="auto"/>
      </w:pPr>
      <w:r>
        <w:separator/>
      </w:r>
    </w:p>
  </w:endnote>
  <w:endnote w:type="continuationSeparator" w:id="1">
    <w:p w:rsidR="003E24CE" w:rsidRDefault="003E24CE" w:rsidP="00B53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F7" w:rsidRDefault="00927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6809905"/>
      <w:docPartObj>
        <w:docPartGallery w:val="Page Numbers (Bottom of Page)"/>
        <w:docPartUnique/>
      </w:docPartObj>
    </w:sdtPr>
    <w:sdtContent>
      <w:p w:rsidR="009272F7" w:rsidRDefault="005A775C">
        <w:pPr>
          <w:pStyle w:val="Footer"/>
          <w:jc w:val="center"/>
        </w:pPr>
        <w:fldSimple w:instr=" PAGE   \* MERGEFORMAT ">
          <w:r w:rsidR="00FD1006">
            <w:rPr>
              <w:noProof/>
              <w:rtl/>
            </w:rPr>
            <w:t>2</w:t>
          </w:r>
        </w:fldSimple>
      </w:p>
    </w:sdtContent>
  </w:sdt>
  <w:p w:rsidR="009272F7" w:rsidRDefault="00927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F7" w:rsidRDefault="00927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CE" w:rsidRDefault="003E24CE" w:rsidP="00B53E43">
      <w:pPr>
        <w:spacing w:after="0" w:line="240" w:lineRule="auto"/>
      </w:pPr>
      <w:r>
        <w:separator/>
      </w:r>
    </w:p>
  </w:footnote>
  <w:footnote w:type="continuationSeparator" w:id="1">
    <w:p w:rsidR="003E24CE" w:rsidRDefault="003E24CE" w:rsidP="00B53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F7" w:rsidRDefault="00927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4"/>
        <w:szCs w:val="24"/>
        <w:rtl/>
      </w:rPr>
      <w:alias w:val="Title"/>
      <w:id w:val="77738743"/>
      <w:placeholder>
        <w:docPart w:val="EA394155E1E5452998CA912F2FB642FA"/>
      </w:placeholder>
      <w:dataBinding w:prefixMappings="xmlns:ns0='http://schemas.openxmlformats.org/package/2006/metadata/core-properties' xmlns:ns1='http://purl.org/dc/elements/1.1/'" w:xpath="/ns0:coreProperties[1]/ns1:title[1]" w:storeItemID="{6C3C8BC8-F283-45AE-878A-BAB7291924A1}"/>
      <w:text/>
    </w:sdtPr>
    <w:sdtContent>
      <w:p w:rsidR="00B53E43" w:rsidRPr="007B6E3D" w:rsidRDefault="007B6E3D" w:rsidP="007B6E3D">
        <w:pPr>
          <w:pStyle w:val="Header"/>
          <w:pBdr>
            <w:bottom w:val="thickThinSmallGap" w:sz="24" w:space="1" w:color="622423" w:themeColor="accent2" w:themeShade="7F"/>
          </w:pBdr>
          <w:jc w:val="right"/>
          <w:rPr>
            <w:rFonts w:asciiTheme="majorHAnsi" w:eastAsiaTheme="majorEastAsia" w:hAnsiTheme="majorHAnsi" w:cstheme="majorBidi"/>
            <w:sz w:val="24"/>
            <w:szCs w:val="24"/>
          </w:rPr>
        </w:pPr>
        <w:r w:rsidRPr="007B6E3D">
          <w:rPr>
            <w:rFonts w:asciiTheme="majorBidi" w:hAnsiTheme="majorBidi" w:cstheme="majorBidi"/>
            <w:b/>
            <w:bCs/>
            <w:sz w:val="24"/>
            <w:szCs w:val="24"/>
          </w:rPr>
          <w:t>Introduction &amp; Aim of Work:</w:t>
        </w:r>
      </w:p>
    </w:sdtContent>
  </w:sdt>
  <w:p w:rsidR="00B53E43" w:rsidRDefault="00B53E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F7" w:rsidRDefault="00927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useFELayout/>
  </w:compat>
  <w:rsids>
    <w:rsidRoot w:val="00F330AA"/>
    <w:rsid w:val="000B1979"/>
    <w:rsid w:val="00184FF2"/>
    <w:rsid w:val="00224C50"/>
    <w:rsid w:val="00375C80"/>
    <w:rsid w:val="003E24CE"/>
    <w:rsid w:val="004F6660"/>
    <w:rsid w:val="005A775C"/>
    <w:rsid w:val="007B6E3D"/>
    <w:rsid w:val="0087293D"/>
    <w:rsid w:val="009272F7"/>
    <w:rsid w:val="00932941"/>
    <w:rsid w:val="00A70E6D"/>
    <w:rsid w:val="00B53E43"/>
    <w:rsid w:val="00BA1ACA"/>
    <w:rsid w:val="00CA2049"/>
    <w:rsid w:val="00CC1EBF"/>
    <w:rsid w:val="00F330AA"/>
    <w:rsid w:val="00FC5E47"/>
    <w:rsid w:val="00FD1006"/>
    <w:rsid w:val="00FE6A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0AA"/>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character" w:styleId="SubtleEmphasis">
    <w:name w:val="Subtle Emphasis"/>
    <w:uiPriority w:val="19"/>
    <w:qFormat/>
    <w:rsid w:val="00F330AA"/>
    <w:rPr>
      <w:i/>
      <w:iCs/>
    </w:rPr>
  </w:style>
  <w:style w:type="table" w:styleId="TableGrid">
    <w:name w:val="Table Grid"/>
    <w:basedOn w:val="TableNormal"/>
    <w:uiPriority w:val="59"/>
    <w:rsid w:val="00F330AA"/>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3E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E43"/>
  </w:style>
  <w:style w:type="paragraph" w:styleId="Footer">
    <w:name w:val="footer"/>
    <w:basedOn w:val="Normal"/>
    <w:link w:val="FooterChar"/>
    <w:uiPriority w:val="99"/>
    <w:unhideWhenUsed/>
    <w:rsid w:val="00B53E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E43"/>
  </w:style>
  <w:style w:type="paragraph" w:styleId="BalloonText">
    <w:name w:val="Balloon Text"/>
    <w:basedOn w:val="Normal"/>
    <w:link w:val="BalloonTextChar"/>
    <w:uiPriority w:val="99"/>
    <w:semiHidden/>
    <w:unhideWhenUsed/>
    <w:rsid w:val="00B5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394155E1E5452998CA912F2FB642FA"/>
        <w:category>
          <w:name w:val="General"/>
          <w:gallery w:val="placeholder"/>
        </w:category>
        <w:types>
          <w:type w:val="bbPlcHdr"/>
        </w:types>
        <w:behaviors>
          <w:behavior w:val="content"/>
        </w:behaviors>
        <w:guid w:val="{2FDD6E22-79EC-4B1B-AECB-A5C7843F6FEB}"/>
      </w:docPartPr>
      <w:docPartBody>
        <w:p w:rsidR="00FF4895" w:rsidRDefault="008C01FD" w:rsidP="008C01FD">
          <w:pPr>
            <w:pStyle w:val="EA394155E1E5452998CA912F2FB642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01FD"/>
    <w:rsid w:val="001746E1"/>
    <w:rsid w:val="00577106"/>
    <w:rsid w:val="006E727A"/>
    <w:rsid w:val="008C01FD"/>
    <w:rsid w:val="00913F32"/>
    <w:rsid w:val="00B52B6A"/>
    <w:rsid w:val="00FF48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94155E1E5452998CA912F2FB642FA">
    <w:name w:val="EA394155E1E5452998CA912F2FB642FA"/>
    <w:rsid w:val="008C01F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Aim of Work:</dc:title>
  <dc:subject/>
  <dc:creator>ALBOSTAN</dc:creator>
  <cp:keywords/>
  <dc:description/>
  <cp:lastModifiedBy>ALBOSTAN</cp:lastModifiedBy>
  <cp:revision>9</cp:revision>
  <dcterms:created xsi:type="dcterms:W3CDTF">2015-06-23T15:48:00Z</dcterms:created>
  <dcterms:modified xsi:type="dcterms:W3CDTF">2015-07-07T23:16:00Z</dcterms:modified>
</cp:coreProperties>
</file>